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4">
            <wp:simplePos x="0" y="0"/>
            <wp:positionH relativeFrom="column">
              <wp:posOffset>1713865</wp:posOffset>
            </wp:positionH>
            <wp:positionV relativeFrom="paragraph">
              <wp:posOffset>349250</wp:posOffset>
            </wp:positionV>
            <wp:extent cx="787400" cy="78740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787400" cy="787400"/>
                    </a:xfrm>
                    <a:prstGeom prst="rect">
                      <a:avLst/>
                    </a:prstGeom>
                  </pic:spPr>
                </pic:pic>
              </a:graphicData>
            </a:graphic>
          </wp:anchor>
        </w:drawing>
      </w:r>
      <w:r>
        <w:rPr/>
        <w:drawing>
          <wp:inline distT="0" distB="0" distL="0" distR="0">
            <wp:extent cx="722630" cy="98107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722630" cy="981075"/>
                    </a:xfrm>
                    <a:prstGeom prst="rect">
                      <a:avLst/>
                    </a:prstGeom>
                  </pic:spPr>
                </pic:pic>
              </a:graphicData>
            </a:graphic>
          </wp:inline>
        </w:drawing>
      </w:r>
      <w:r>
        <w:rPr/>
        <w:drawing>
          <wp:inline distT="0" distB="0" distL="0" distR="0">
            <wp:extent cx="962025" cy="113347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4"/>
                    <a:stretch>
                      <a:fillRect/>
                    </a:stretch>
                  </pic:blipFill>
                  <pic:spPr bwMode="auto">
                    <a:xfrm>
                      <a:off x="0" y="0"/>
                      <a:ext cx="962025" cy="1133475"/>
                    </a:xfrm>
                    <a:prstGeom prst="rect">
                      <a:avLst/>
                    </a:prstGeom>
                  </pic:spPr>
                </pic:pic>
              </a:graphicData>
            </a:graphic>
          </wp:inline>
        </w:drawing>
      </w:r>
      <w:bookmarkStart w:id="0" w:name="_GoBack"/>
      <w:bookmarkEnd w:id="0"/>
    </w:p>
    <w:p>
      <w:pPr>
        <w:pStyle w:val="Normal"/>
        <w:rPr/>
      </w:pPr>
      <w:r>
        <w:rPr/>
      </w:r>
    </w:p>
    <w:tbl>
      <w:tblPr>
        <w:tblStyle w:val="TableNormal"/>
        <w:tblW w:w="9636" w:type="dxa"/>
        <w:jc w:val="left"/>
        <w:tblInd w:w="108" w:type="dxa"/>
        <w:tblCellMar>
          <w:top w:w="80" w:type="dxa"/>
          <w:left w:w="80" w:type="dxa"/>
          <w:bottom w:w="80" w:type="dxa"/>
          <w:right w:w="80" w:type="dxa"/>
        </w:tblCellMar>
        <w:tblLook w:firstRow="1" w:noVBand="1" w:lastRow="0" w:firstColumn="1" w:lastColumn="0" w:noHBand="0" w:val="04a0"/>
      </w:tblPr>
      <w:tblGrid>
        <w:gridCol w:w="3343"/>
        <w:gridCol w:w="6292"/>
      </w:tblGrid>
      <w:tr>
        <w:trPr>
          <w:trHeight w:val="1201" w:hRule="atLeast"/>
        </w:trPr>
        <w:tc>
          <w:tcPr>
            <w:tcW w:w="3343" w:type="dxa"/>
            <w:tcBorders/>
            <w:shd w:color="auto" w:fill="auto" w:val="clear"/>
          </w:tcPr>
          <w:p>
            <w:pPr>
              <w:pStyle w:val="Corps"/>
              <w:spacing w:lineRule="auto" w:line="240" w:before="0" w:after="0"/>
              <w:jc w:val="right"/>
              <w:rPr>
                <w:rFonts w:ascii="Arial" w:hAnsi="Arial" w:cs="Arial"/>
                <w:color w:val="auto"/>
              </w:rPr>
            </w:pPr>
            <w:r>
              <w:rPr>
                <w:rFonts w:eastAsia="Calibri" w:cs="Arial" w:ascii="Arial" w:hAnsi="Arial"/>
                <w:caps/>
                <w:color w:val="auto"/>
                <w:sz w:val="22"/>
                <w:szCs w:val="22"/>
                <w:lang w:eastAsia="fr-FR"/>
              </w:rPr>
              <w:t xml:space="preserve">A L'ATTENTION DE </w:t>
            </w:r>
          </w:p>
        </w:tc>
        <w:tc>
          <w:tcPr>
            <w:tcW w:w="6292" w:type="dxa"/>
            <w:tcBorders/>
            <w:shd w:color="auto" w:fill="auto" w:val="clear"/>
          </w:tcPr>
          <w:p>
            <w:pPr>
              <w:pStyle w:val="Normal"/>
              <w:spacing w:lineRule="auto" w:line="240" w:before="0" w:after="0"/>
              <w:rPr>
                <w:rFonts w:ascii="Arial" w:hAnsi="Arial" w:eastAsia="Arial Unicode MS" w:cs="Arial"/>
                <w:szCs w:val="20"/>
                <w:lang w:eastAsia="fr-FR"/>
              </w:rPr>
            </w:pPr>
            <w:r>
              <w:rPr>
                <w:rFonts w:eastAsia="Arial Unicode MS" w:cs="Arial" w:ascii="Arial" w:hAnsi="Arial"/>
                <w:szCs w:val="20"/>
                <w:lang w:eastAsia="fr-FR"/>
              </w:rPr>
            </w:r>
          </w:p>
        </w:tc>
      </w:tr>
      <w:tr>
        <w:trPr>
          <w:trHeight w:val="240" w:hRule="atLeast"/>
        </w:trPr>
        <w:tc>
          <w:tcPr>
            <w:tcW w:w="3343" w:type="dxa"/>
            <w:tcBorders/>
            <w:shd w:color="auto" w:fill="auto" w:val="clear"/>
            <w:vAlign w:val="center"/>
          </w:tcPr>
          <w:p>
            <w:pPr>
              <w:pStyle w:val="Corps"/>
              <w:spacing w:lineRule="auto" w:line="240" w:before="0" w:after="0"/>
              <w:jc w:val="right"/>
              <w:rPr>
                <w:rFonts w:ascii="Arial" w:hAnsi="Arial" w:cs="Arial"/>
                <w:color w:val="auto"/>
              </w:rPr>
            </w:pPr>
            <w:r>
              <w:rPr>
                <w:rFonts w:eastAsia="Calibri" w:cs="Arial" w:ascii="Arial" w:hAnsi="Arial"/>
                <w:caps/>
                <w:color w:val="auto"/>
                <w:sz w:val="22"/>
                <w:szCs w:val="22"/>
                <w:lang w:eastAsia="fr-FR"/>
              </w:rPr>
              <w:t xml:space="preserve">OBJET </w:t>
            </w:r>
          </w:p>
        </w:tc>
        <w:tc>
          <w:tcPr>
            <w:tcW w:w="6292" w:type="dxa"/>
            <w:tcBorders/>
            <w:shd w:color="auto" w:fill="auto" w:val="clear"/>
            <w:vAlign w:val="center"/>
          </w:tcPr>
          <w:p>
            <w:pPr>
              <w:pStyle w:val="Corps"/>
              <w:spacing w:lineRule="auto" w:line="240" w:before="0" w:after="0"/>
              <w:rPr>
                <w:rFonts w:ascii="Arial" w:hAnsi="Arial" w:cs="Arial"/>
                <w:color w:val="auto"/>
              </w:rPr>
            </w:pPr>
            <w:r>
              <w:rPr>
                <w:rFonts w:eastAsia="Gravur-Condensed" w:cs="Arial" w:ascii="Arial" w:hAnsi="Arial"/>
                <w:color w:val="auto"/>
                <w:sz w:val="22"/>
                <w:szCs w:val="22"/>
                <w:lang w:eastAsia="fr-FR"/>
              </w:rPr>
              <w:t xml:space="preserve"> </w:t>
            </w:r>
            <w:r>
              <w:rPr>
                <w:rFonts w:eastAsia="Gravur-Condensed" w:cs="Arial" w:ascii="Arial" w:hAnsi="Arial"/>
                <w:color w:val="auto"/>
                <w:sz w:val="22"/>
                <w:szCs w:val="22"/>
                <w:lang w:eastAsia="fr-FR"/>
              </w:rPr>
              <w:t xml:space="preserve">Demande </w:t>
            </w:r>
            <w:r>
              <w:rPr>
                <w:rFonts w:eastAsia="Gravur-Condensed" w:cs="Arial" w:ascii="Arial" w:hAnsi="Arial"/>
                <w:color w:val="auto"/>
                <w:sz w:val="22"/>
                <w:szCs w:val="22"/>
                <w:u w:val="none" w:color="FF0000"/>
                <w:lang w:eastAsia="fr-FR"/>
              </w:rPr>
              <w:t xml:space="preserve">de réouverture </w:t>
            </w:r>
            <w:r>
              <w:rPr>
                <w:rFonts w:eastAsia="Gravur-Condensed" w:cs="Arial" w:ascii="Arial" w:hAnsi="Arial"/>
                <w:color w:val="auto"/>
                <w:sz w:val="22"/>
                <w:szCs w:val="22"/>
                <w:lang w:eastAsia="fr-FR"/>
              </w:rPr>
              <w:t>des marchés alimentaires</w:t>
            </w:r>
          </w:p>
        </w:tc>
      </w:tr>
      <w:tr>
        <w:trPr>
          <w:trHeight w:val="240" w:hRule="atLeast"/>
        </w:trPr>
        <w:tc>
          <w:tcPr>
            <w:tcW w:w="3343" w:type="dxa"/>
            <w:tcBorders/>
            <w:shd w:color="auto" w:fill="auto" w:val="clear"/>
            <w:vAlign w:val="center"/>
          </w:tcPr>
          <w:p>
            <w:pPr>
              <w:pStyle w:val="Corps"/>
              <w:spacing w:lineRule="auto" w:line="240" w:before="0" w:after="0"/>
              <w:jc w:val="right"/>
              <w:rPr>
                <w:rFonts w:ascii="Arial" w:hAnsi="Arial" w:cs="Arial"/>
                <w:color w:val="auto"/>
              </w:rPr>
            </w:pPr>
            <w:r>
              <w:rPr>
                <w:rFonts w:eastAsia="Calibri" w:cs="Arial" w:ascii="Arial" w:hAnsi="Arial"/>
                <w:caps/>
                <w:color w:val="auto"/>
                <w:sz w:val="22"/>
                <w:szCs w:val="22"/>
                <w:lang w:eastAsia="fr-FR"/>
              </w:rPr>
              <w:t xml:space="preserve">contact </w:t>
            </w:r>
          </w:p>
        </w:tc>
        <w:tc>
          <w:tcPr>
            <w:tcW w:w="6292" w:type="dxa"/>
            <w:tcBorders/>
            <w:shd w:color="auto" w:fill="auto" w:val="clear"/>
            <w:vAlign w:val="center"/>
          </w:tcPr>
          <w:p>
            <w:pPr>
              <w:pStyle w:val="Normal"/>
              <w:spacing w:lineRule="auto" w:line="240" w:before="0" w:after="0"/>
              <w:rPr>
                <w:rFonts w:ascii="Arial" w:hAnsi="Arial" w:eastAsia="Arial Unicode MS" w:cs="Arial"/>
                <w:szCs w:val="20"/>
                <w:lang w:eastAsia="fr-FR"/>
              </w:rPr>
            </w:pPr>
            <w:r>
              <w:rPr>
                <w:rFonts w:eastAsia="Arial Unicode MS" w:cs="Arial" w:ascii="Arial" w:hAnsi="Arial"/>
                <w:szCs w:val="20"/>
                <w:lang w:eastAsia="fr-FR"/>
              </w:rPr>
            </w:r>
          </w:p>
        </w:tc>
      </w:tr>
    </w:tbl>
    <w:p>
      <w:pPr>
        <w:pStyle w:val="Corpsdetexte"/>
        <w:rPr>
          <w:rFonts w:ascii="Arial" w:hAnsi="Arial" w:eastAsia="Gravur-Condensed" w:cs="Arial"/>
          <w:color w:val="auto"/>
          <w:sz w:val="21"/>
          <w:szCs w:val="21"/>
        </w:rPr>
      </w:pPr>
      <w:r>
        <w:rPr>
          <w:rFonts w:eastAsia="Gravur-Condensed" w:cs="Arial" w:ascii="Arial" w:hAnsi="Arial"/>
          <w:color w:val="auto"/>
          <w:sz w:val="21"/>
          <w:szCs w:val="21"/>
        </w:rPr>
      </w:r>
    </w:p>
    <w:p>
      <w:pPr>
        <w:pStyle w:val="Corps"/>
        <w:rPr>
          <w:rFonts w:ascii="Arial" w:hAnsi="Arial" w:eastAsia="Gravur-Condensed" w:cs="Arial"/>
          <w:color w:val="auto"/>
          <w:sz w:val="21"/>
          <w:szCs w:val="21"/>
        </w:rPr>
      </w:pPr>
      <w:r>
        <w:rPr>
          <w:rFonts w:eastAsia="Gravur-Condensed" w:cs="Arial" w:ascii="Arial" w:hAnsi="Arial"/>
          <w:color w:val="auto"/>
          <w:sz w:val="21"/>
          <w:szCs w:val="21"/>
        </w:rPr>
      </w:r>
    </w:p>
    <w:p>
      <w:pPr>
        <w:pStyle w:val="Corps"/>
        <w:tabs>
          <w:tab w:val="clear" w:pos="708"/>
          <w:tab w:val="left" w:pos="1635" w:leader="none"/>
        </w:tabs>
        <w:rPr>
          <w:rFonts w:ascii="Arial" w:hAnsi="Arial" w:eastAsia="Calibri" w:cs="Arial"/>
          <w:color w:val="auto"/>
          <w:sz w:val="21"/>
          <w:szCs w:val="21"/>
        </w:rPr>
      </w:pPr>
      <w:r>
        <w:rPr>
          <w:rFonts w:eastAsia="Calibri" w:cs="Arial" w:ascii="Arial" w:hAnsi="Arial"/>
          <w:color w:val="auto"/>
          <w:sz w:val="21"/>
          <w:szCs w:val="21"/>
        </w:rPr>
        <w:tab/>
      </w:r>
    </w:p>
    <w:p>
      <w:pPr>
        <w:pStyle w:val="Corps"/>
        <w:jc w:val="right"/>
        <w:rPr>
          <w:rFonts w:ascii="Arial" w:hAnsi="Arial" w:eastAsia="Calibri" w:cs="Arial"/>
          <w:color w:val="auto"/>
          <w:sz w:val="21"/>
          <w:szCs w:val="21"/>
        </w:rPr>
      </w:pPr>
      <w:r>
        <w:rPr>
          <w:rFonts w:eastAsia="Calibri" w:cs="Arial" w:ascii="Arial" w:hAnsi="Arial"/>
          <w:color w:val="auto"/>
          <w:sz w:val="21"/>
          <w:szCs w:val="21"/>
        </w:rPr>
      </w:r>
    </w:p>
    <w:p>
      <w:pPr>
        <w:pStyle w:val="Corps"/>
        <w:jc w:val="right"/>
        <w:rPr>
          <w:rFonts w:ascii="Arial" w:hAnsi="Arial" w:eastAsia="Calibri" w:cs="Arial"/>
          <w:color w:val="auto"/>
          <w:sz w:val="21"/>
          <w:szCs w:val="21"/>
        </w:rPr>
      </w:pPr>
      <w:r>
        <w:rPr>
          <w:rFonts w:eastAsia="Calibri" w:cs="Arial" w:ascii="Arial" w:hAnsi="Arial"/>
          <w:color w:val="auto"/>
          <w:sz w:val="21"/>
          <w:szCs w:val="21"/>
          <w:u w:val="none" w:color="FF0000"/>
        </w:rPr>
        <w:t>Ville</w:t>
      </w:r>
      <w:r>
        <w:rPr>
          <w:rFonts w:eastAsia="Calibri" w:cs="Arial" w:ascii="Arial" w:hAnsi="Arial"/>
          <w:color w:val="auto"/>
          <w:sz w:val="21"/>
          <w:szCs w:val="21"/>
        </w:rPr>
        <w:t>, le….. avril 2020</w:t>
      </w:r>
    </w:p>
    <w:p>
      <w:pPr>
        <w:pStyle w:val="Corps"/>
        <w:rPr>
          <w:rFonts w:ascii="Arial" w:hAnsi="Arial" w:eastAsia="Calibri" w:cs="Arial"/>
          <w:color w:val="auto"/>
          <w:sz w:val="21"/>
          <w:szCs w:val="21"/>
        </w:rPr>
      </w:pPr>
      <w:r>
        <w:rPr>
          <w:rFonts w:eastAsia="Calibri" w:cs="Arial" w:ascii="Arial" w:hAnsi="Arial"/>
          <w:color w:val="auto"/>
          <w:sz w:val="21"/>
          <w:szCs w:val="21"/>
        </w:rPr>
      </w:r>
    </w:p>
    <w:p>
      <w:pPr>
        <w:pStyle w:val="Corps"/>
        <w:rPr>
          <w:rFonts w:ascii="Arial" w:hAnsi="Arial" w:eastAsia="Calibri" w:cs="Arial"/>
          <w:color w:val="auto"/>
          <w:sz w:val="21"/>
          <w:szCs w:val="21"/>
        </w:rPr>
      </w:pPr>
      <w:r>
        <w:rPr>
          <w:rFonts w:eastAsia="Calibri" w:cs="Arial" w:ascii="Arial" w:hAnsi="Arial"/>
          <w:color w:val="auto"/>
          <w:sz w:val="21"/>
          <w:szCs w:val="21"/>
        </w:rPr>
      </w:r>
    </w:p>
    <w:p>
      <w:pPr>
        <w:pStyle w:val="Corps"/>
        <w:rPr>
          <w:rFonts w:ascii="Arial" w:hAnsi="Arial" w:eastAsia="Calibri" w:cs="Arial"/>
          <w:color w:val="auto"/>
          <w:sz w:val="21"/>
          <w:szCs w:val="21"/>
          <w:u w:val="none" w:color="222222"/>
        </w:rPr>
      </w:pPr>
      <w:r>
        <w:rPr>
          <w:rFonts w:eastAsia="Calibri" w:cs="Arial" w:ascii="Arial" w:hAnsi="Arial"/>
          <w:color w:val="auto"/>
          <w:sz w:val="21"/>
          <w:szCs w:val="21"/>
          <w:u w:val="none" w:color="222222"/>
        </w:rPr>
      </w:r>
    </w:p>
    <w:p>
      <w:pPr>
        <w:pStyle w:val="Corps"/>
        <w:jc w:val="both"/>
        <w:rPr>
          <w:rFonts w:ascii="Arial" w:hAnsi="Arial" w:eastAsia="Calibri" w:cs="Arial"/>
          <w:color w:val="auto"/>
          <w:sz w:val="21"/>
          <w:szCs w:val="21"/>
        </w:rPr>
      </w:pPr>
      <w:r>
        <w:rPr>
          <w:rFonts w:eastAsia="Calibri" w:cs="Arial" w:ascii="Arial" w:hAnsi="Arial"/>
          <w:color w:val="auto"/>
          <w:sz w:val="21"/>
          <w:szCs w:val="21"/>
          <w:u w:val="none" w:color="222222"/>
        </w:rPr>
        <w:br/>
      </w:r>
      <w:r>
        <w:rPr>
          <w:rFonts w:eastAsia="Calibri" w:cs="Arial" w:ascii="Arial" w:hAnsi="Arial"/>
          <w:color w:val="auto"/>
          <w:sz w:val="22"/>
          <w:szCs w:val="22"/>
          <w:u w:val="none" w:color="FF0000"/>
        </w:rPr>
        <w:t>Madame, Monsieur</w:t>
      </w:r>
      <w:r>
        <w:rPr>
          <w:rFonts w:eastAsia="Calibri" w:cs="Arial" w:ascii="Arial" w:hAnsi="Arial"/>
          <w:color w:val="auto"/>
          <w:sz w:val="22"/>
          <w:szCs w:val="22"/>
        </w:rPr>
        <w:t xml:space="preserve"> le Maire,</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NormalWeb"/>
        <w:spacing w:beforeAutospacing="0" w:before="0" w:afterAutospacing="0" w:after="240"/>
        <w:jc w:val="both"/>
        <w:rPr>
          <w:rFonts w:ascii="Arial" w:hAnsi="Arial" w:cs="Arial"/>
          <w:sz w:val="22"/>
          <w:szCs w:val="22"/>
        </w:rPr>
      </w:pPr>
      <w:r>
        <w:rPr>
          <w:rFonts w:eastAsia="Calibri" w:cs="Arial" w:ascii="Arial" w:hAnsi="Arial"/>
          <w:sz w:val="22"/>
          <w:szCs w:val="22"/>
        </w:rPr>
        <w:t xml:space="preserve">Depuis le 27 mars les marchés alimentaires, </w:t>
      </w:r>
      <w:r>
        <w:rPr>
          <w:rFonts w:cs="Arial" w:ascii="Arial" w:hAnsi="Arial"/>
          <w:sz w:val="22"/>
          <w:szCs w:val="22"/>
        </w:rPr>
        <w:t xml:space="preserve">fermés dans le cadre de la mise en œuvre des mesures de lutte contre le COVID-19, </w:t>
      </w:r>
      <w:r>
        <w:rPr>
          <w:rFonts w:cs="Arial" w:ascii="Arial" w:hAnsi="Arial"/>
          <w:sz w:val="22"/>
          <w:szCs w:val="22"/>
          <w:u w:val="single"/>
        </w:rPr>
        <w:t xml:space="preserve">peuvent faire l’objet d’une autorisation préfectorale d’ouverture. </w:t>
      </w:r>
    </w:p>
    <w:p>
      <w:pPr>
        <w:pStyle w:val="NormalWeb"/>
        <w:spacing w:before="280" w:after="280"/>
        <w:jc w:val="both"/>
        <w:rPr>
          <w:rFonts w:ascii="Arial" w:hAnsi="Arial" w:eastAsia="Calibri" w:cs="Arial"/>
        </w:rPr>
      </w:pPr>
      <w:r>
        <w:rPr>
          <w:rFonts w:cs="Arial" w:ascii="Arial" w:hAnsi="Arial"/>
          <w:sz w:val="22"/>
          <w:szCs w:val="22"/>
        </w:rPr>
        <w:t>L</w:t>
      </w:r>
      <w:r>
        <w:rPr>
          <w:rFonts w:cs="Arial" w:ascii="Arial" w:hAnsi="Arial"/>
          <w:sz w:val="22"/>
          <w:szCs w:val="22"/>
          <w:shd w:fill="FFFFFF" w:val="clear"/>
        </w:rPr>
        <w:t xml:space="preserve">e gouvernement a envoyé à toutes les préfectures un </w:t>
      </w:r>
      <w:r>
        <w:rPr>
          <w:rFonts w:cs="Arial" w:ascii="Arial" w:hAnsi="Arial"/>
          <w:sz w:val="22"/>
          <w:szCs w:val="22"/>
          <w:u w:val="single"/>
          <w:shd w:fill="FFFFFF" w:val="clear"/>
        </w:rPr>
        <w:t xml:space="preserve">guide méthodologique qui permet d'étendre les possibilités de déroger à la fermeture des marchés </w:t>
      </w:r>
      <w:r>
        <w:rPr>
          <w:rFonts w:cs="Arial" w:ascii="Arial" w:hAnsi="Arial"/>
          <w:sz w:val="22"/>
          <w:szCs w:val="22"/>
          <w:shd w:fill="FFFFFF" w:val="clear"/>
        </w:rPr>
        <w:t>et qui définit un protocole sécurisant pour toutes et tous (élus, producteurs, consommateurs). </w:t>
      </w:r>
      <w:r>
        <w:rPr>
          <w:rFonts w:eastAsia="Calibri" w:cs="Arial" w:ascii="Arial" w:hAnsi="Arial"/>
          <w:sz w:val="22"/>
          <w:szCs w:val="22"/>
          <w:u w:val="none" w:color="000000"/>
          <w:shd w:fill="FFFFFF" w:val="clear"/>
        </w:rPr>
        <w:t xml:space="preserve">Il reconnaît ainsi que l'application de règles sanitaires strictes permet la tenue de toute forme de vente alimentaire. </w:t>
      </w:r>
      <w:r>
        <w:rPr>
          <w:rFonts w:eastAsia="Calibri" w:cs="Arial" w:ascii="Arial" w:hAnsi="Arial"/>
          <w:sz w:val="22"/>
          <w:szCs w:val="22"/>
          <w:lang w:val="it-IT"/>
        </w:rPr>
        <w:t>Il s</w:t>
      </w:r>
      <w:r>
        <w:rPr>
          <w:rFonts w:eastAsia="Calibri" w:cs="Arial" w:ascii="Arial" w:hAnsi="Arial"/>
          <w:sz w:val="22"/>
          <w:szCs w:val="22"/>
        </w:rPr>
        <w:t>’agit notamment de l’espacement des stands, du marquage au sol pour les distances entre les acheteurs, de dispositifs de protection des vendeurs, du non-accès par le public aux produits exposé</w:t>
      </w:r>
      <w:r>
        <w:rPr>
          <w:rFonts w:eastAsia="Calibri" w:cs="Arial" w:ascii="Arial" w:hAnsi="Arial"/>
          <w:sz w:val="22"/>
          <w:szCs w:val="22"/>
          <w:lang w:val="pt-PT"/>
        </w:rPr>
        <w:t>s...</w:t>
      </w:r>
    </w:p>
    <w:p>
      <w:pPr>
        <w:pStyle w:val="Corps"/>
        <w:jc w:val="both"/>
        <w:rPr>
          <w:rFonts w:ascii="Arial" w:hAnsi="Arial" w:eastAsia="Calibri" w:cs="Arial"/>
          <w:color w:val="auto"/>
          <w:sz w:val="21"/>
          <w:szCs w:val="21"/>
        </w:rPr>
      </w:pPr>
      <w:r>
        <w:rPr>
          <w:rFonts w:eastAsia="Calibri" w:cs="Arial" w:ascii="Arial" w:hAnsi="Arial"/>
          <w:color w:val="auto"/>
          <w:sz w:val="22"/>
          <w:szCs w:val="22"/>
        </w:rPr>
        <w:t xml:space="preserve">Parce que les marchés de plein air offrent un approvisionnement régulier en produits alimentaires frais et parce qu’ils sont des débouchés pour une agriculture de proximité, nous vous interpellons sur cette situation. </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Corps"/>
        <w:jc w:val="both"/>
        <w:rPr>
          <w:rFonts w:ascii="Arial" w:hAnsi="Arial" w:eastAsia="Calibri" w:cs="Arial"/>
          <w:color w:val="auto"/>
          <w:sz w:val="22"/>
          <w:szCs w:val="22"/>
        </w:rPr>
      </w:pPr>
      <w:r>
        <w:rPr>
          <w:rFonts w:eastAsia="Calibri" w:cs="Arial" w:ascii="Arial" w:hAnsi="Arial"/>
          <w:color w:val="auto"/>
          <w:sz w:val="22"/>
          <w:szCs w:val="22"/>
        </w:rPr>
        <w:t xml:space="preserve">Nous vous alertons sur les conséquences économiques, sociales et sanitaires de la situation actuelle. </w:t>
      </w:r>
      <w:r>
        <w:rPr>
          <w:rFonts w:eastAsia="Calibri" w:cs="Arial" w:ascii="Arial" w:hAnsi="Arial"/>
          <w:color w:val="auto"/>
          <w:sz w:val="22"/>
          <w:szCs w:val="22"/>
          <w:lang w:val="it-IT"/>
        </w:rPr>
        <w:t xml:space="preserve">Si la </w:t>
      </w:r>
      <w:r>
        <w:rPr>
          <w:rFonts w:eastAsia="Calibri" w:cs="Arial" w:ascii="Arial" w:hAnsi="Arial"/>
          <w:color w:val="auto"/>
          <w:sz w:val="22"/>
          <w:szCs w:val="22"/>
        </w:rPr>
        <w:t>réouverture des marchés n’est pas mise en œuvre rapidement pour permettre aux producteurs d’écouler l’ensemble de leurs produits, en cette période de récolte et de production, les capacités de production seront fortement altérées, ce qui pourrait, à moyen terme, ajouter des difficultés d’approvisionnement pour nos concitoyens dans cette situation déjà éprouvante pour beaucoup.</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Corps"/>
        <w:jc w:val="both"/>
        <w:rPr>
          <w:rFonts w:ascii="Arial" w:hAnsi="Arial" w:eastAsia="Calibri" w:cs="Arial"/>
          <w:color w:val="auto"/>
          <w:sz w:val="22"/>
          <w:szCs w:val="22"/>
        </w:rPr>
      </w:pPr>
      <w:r>
        <w:rPr>
          <w:rFonts w:eastAsia="Calibri" w:cs="Arial" w:ascii="Arial" w:hAnsi="Arial"/>
          <w:color w:val="auto"/>
          <w:sz w:val="22"/>
          <w:szCs w:val="22"/>
        </w:rPr>
        <w:t>Aussi, nous craignons que la suppression des marchés engorge les grandes et moyennes surfaces dans lesquelles les risques de contamination sont accrus du fait de la libre manipulation des produits, de l’échange de caddy, de la concentration de personnes dans un espace clos, etc…</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Corps"/>
        <w:jc w:val="both"/>
        <w:rPr>
          <w:rFonts w:ascii="Arial" w:hAnsi="Arial" w:eastAsia="Calibri" w:cs="Arial"/>
          <w:color w:val="auto"/>
          <w:sz w:val="22"/>
          <w:szCs w:val="22"/>
        </w:rPr>
      </w:pPr>
      <w:r>
        <w:rPr>
          <w:rFonts w:eastAsia="Calibri" w:cs="Arial" w:ascii="Arial" w:hAnsi="Arial"/>
          <w:color w:val="auto"/>
          <w:sz w:val="22"/>
          <w:szCs w:val="22"/>
        </w:rPr>
        <w:t>Nous pensons que la vente en circuit court, avec des déplacements limités, sans ou peu d’intermédiaires, donc des manipulations des produits réduites, est plutôt un facteur sécurisant et de nature à participer activement à la lutte contre la propagation de cette maladie.</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Corps"/>
        <w:jc w:val="both"/>
        <w:rPr>
          <w:rFonts w:ascii="Arial" w:hAnsi="Arial" w:eastAsia="Calibri" w:cs="Arial"/>
          <w:color w:val="auto"/>
          <w:sz w:val="21"/>
          <w:szCs w:val="21"/>
        </w:rPr>
      </w:pPr>
      <w:r>
        <w:rPr>
          <w:rFonts w:eastAsia="Calibri" w:cs="Arial" w:ascii="Arial" w:hAnsi="Arial"/>
          <w:color w:val="auto"/>
          <w:sz w:val="22"/>
          <w:szCs w:val="22"/>
        </w:rPr>
        <w:t>Nous vous demandons donc d’examiner favorablement notre proposition et d’agir auprès du préfet afin d’obtenir l’autorisation de ré ouvrir les marchés. Cette possibilité est d’ailleurs laissée à votre initiative par le premier</w:t>
      </w:r>
      <w:r>
        <w:rPr>
          <w:rFonts w:eastAsia="Calibri" w:cs="Arial" w:ascii="Arial" w:hAnsi="Arial"/>
          <w:color w:val="auto"/>
          <w:sz w:val="21"/>
          <w:szCs w:val="21"/>
        </w:rPr>
        <w:t xml:space="preserve"> ministre.</w:t>
      </w:r>
    </w:p>
    <w:p>
      <w:pPr>
        <w:pStyle w:val="Corps"/>
        <w:jc w:val="both"/>
        <w:rPr>
          <w:rFonts w:ascii="Arial" w:hAnsi="Arial" w:eastAsia="Calibri" w:cs="Arial"/>
          <w:color w:val="auto"/>
          <w:sz w:val="21"/>
          <w:szCs w:val="21"/>
        </w:rPr>
      </w:pPr>
      <w:r>
        <w:rPr>
          <w:rFonts w:eastAsia="Calibri" w:cs="Arial" w:ascii="Arial" w:hAnsi="Arial"/>
          <w:color w:val="auto"/>
          <w:sz w:val="21"/>
          <w:szCs w:val="21"/>
        </w:rPr>
      </w:r>
    </w:p>
    <w:p>
      <w:pPr>
        <w:pStyle w:val="Corps"/>
        <w:jc w:val="both"/>
        <w:rPr>
          <w:rFonts w:ascii="Arial" w:hAnsi="Arial" w:eastAsia="Calibri" w:cs="Arial"/>
          <w:color w:val="FF0000"/>
          <w:sz w:val="22"/>
          <w:szCs w:val="22"/>
          <w:u w:val="none" w:color="FF0000"/>
        </w:rPr>
      </w:pPr>
      <w:r>
        <w:rPr>
          <w:rFonts w:eastAsia="Calibri" w:cs="Arial" w:ascii="Arial" w:hAnsi="Arial"/>
          <w:color w:val="FF0000"/>
          <w:sz w:val="22"/>
          <w:szCs w:val="22"/>
          <w:u w:val="none" w:color="FF0000"/>
          <w:lang w:val="it-IT"/>
        </w:rPr>
        <w:t>Possibilit</w:t>
      </w:r>
      <w:r>
        <w:rPr>
          <w:rFonts w:eastAsia="Calibri" w:cs="Arial" w:ascii="Arial" w:hAnsi="Arial"/>
          <w:color w:val="FF0000"/>
          <w:sz w:val="22"/>
          <w:szCs w:val="22"/>
          <w:u w:val="none" w:color="FF0000"/>
        </w:rPr>
        <w:t>é d’ajouter un paragraphe (selon votre disponibilité et motivation), qui peut faciliter concrètement la reouverture :</w:t>
      </w:r>
    </w:p>
    <w:p>
      <w:pPr>
        <w:pStyle w:val="Corps"/>
        <w:jc w:val="both"/>
        <w:rPr>
          <w:rFonts w:ascii="Arial" w:hAnsi="Arial" w:cs="Arial"/>
          <w:color w:val="FF0000"/>
        </w:rPr>
      </w:pPr>
      <w:r>
        <w:rPr>
          <w:rFonts w:eastAsia="Calibri" w:cs="Arial" w:ascii="Arial" w:hAnsi="Arial"/>
          <w:color w:val="FF0000"/>
          <w:sz w:val="22"/>
          <w:szCs w:val="22"/>
          <w:lang w:val="en-US"/>
        </w:rPr>
        <w:t>NB</w:t>
      </w:r>
      <w:r>
        <w:rPr>
          <w:rFonts w:eastAsia="Calibri" w:cs="Arial" w:ascii="Arial" w:hAnsi="Arial"/>
          <w:color w:val="FF0000"/>
          <w:sz w:val="22"/>
          <w:szCs w:val="22"/>
        </w:rPr>
        <w:t> : Par ailleurs, nous vous proposons de contribuer bénévolement / d’informer nos concitoyens/ de mobiliser nos concitoyens pour participer bénévolement à la mise en place des dispositifs de sécurité sur les marchés en vue de leur réouverture. Cette possibilité de bénévolat citoyen est prévue par le guide méthodologique du gouvernement.</w:t>
      </w:r>
    </w:p>
    <w:p>
      <w:pPr>
        <w:pStyle w:val="Corps"/>
        <w:jc w:val="both"/>
        <w:rPr>
          <w:rFonts w:ascii="Arial" w:hAnsi="Arial" w:eastAsia="Calibri" w:cs="Arial"/>
          <w:color w:val="auto"/>
          <w:sz w:val="21"/>
          <w:szCs w:val="21"/>
        </w:rPr>
      </w:pPr>
      <w:r>
        <w:rPr>
          <w:rFonts w:eastAsia="Calibri" w:cs="Arial" w:ascii="Arial" w:hAnsi="Arial"/>
          <w:color w:val="auto"/>
          <w:sz w:val="21"/>
          <w:szCs w:val="21"/>
        </w:rPr>
      </w:r>
    </w:p>
    <w:p>
      <w:pPr>
        <w:pStyle w:val="Corps"/>
        <w:jc w:val="both"/>
        <w:rPr>
          <w:rFonts w:ascii="Arial" w:hAnsi="Arial" w:eastAsia="Calibri" w:cs="Arial"/>
          <w:color w:val="auto"/>
          <w:sz w:val="21"/>
          <w:szCs w:val="21"/>
        </w:rPr>
      </w:pPr>
      <w:r>
        <w:rPr>
          <w:rFonts w:eastAsia="Calibri" w:cs="Arial" w:ascii="Arial" w:hAnsi="Arial"/>
          <w:color w:val="auto"/>
          <w:sz w:val="22"/>
          <w:szCs w:val="22"/>
        </w:rPr>
        <w:t>Vous remerciant par avance et restant à votre disposition,</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Corps"/>
        <w:jc w:val="both"/>
        <w:rPr>
          <w:rFonts w:ascii="Arial" w:hAnsi="Arial" w:eastAsia="Calibri" w:cs="Arial"/>
          <w:color w:val="auto"/>
          <w:sz w:val="21"/>
          <w:szCs w:val="21"/>
        </w:rPr>
      </w:pPr>
      <w:r>
        <w:rPr>
          <w:rFonts w:eastAsia="Calibri" w:cs="Arial" w:ascii="Arial" w:hAnsi="Arial"/>
          <w:color w:val="auto"/>
          <w:sz w:val="22"/>
          <w:szCs w:val="22"/>
        </w:rPr>
        <w:t xml:space="preserve">Les citoyens du </w:t>
      </w:r>
      <w:r>
        <w:rPr>
          <w:rFonts w:eastAsia="Calibri" w:cs="Arial" w:ascii="Arial" w:hAnsi="Arial"/>
          <w:color w:val="auto"/>
          <w:sz w:val="22"/>
          <w:szCs w:val="22"/>
          <w:u w:val="none" w:color="FF0000"/>
        </w:rPr>
        <w:t>groupe local/autre signature …..</w:t>
      </w:r>
    </w:p>
    <w:p>
      <w:pPr>
        <w:pStyle w:val="Corps"/>
        <w:jc w:val="both"/>
        <w:rPr>
          <w:rFonts w:ascii="Arial" w:hAnsi="Arial" w:eastAsia="Calibri" w:cs="Arial"/>
          <w:color w:val="auto"/>
          <w:sz w:val="22"/>
          <w:szCs w:val="22"/>
        </w:rPr>
      </w:pPr>
      <w:r>
        <w:rPr>
          <w:rFonts w:eastAsia="Calibri" w:cs="Arial" w:ascii="Arial" w:hAnsi="Arial"/>
          <w:color w:val="auto"/>
          <w:sz w:val="22"/>
          <w:szCs w:val="22"/>
        </w:rPr>
      </w:r>
    </w:p>
    <w:p>
      <w:pPr>
        <w:pStyle w:val="Corps"/>
        <w:jc w:val="both"/>
        <w:rPr>
          <w:rFonts w:ascii="Arial" w:hAnsi="Arial" w:eastAsia="Calibri" w:cs="Arial"/>
          <w:color w:val="auto"/>
          <w:sz w:val="21"/>
          <w:szCs w:val="21"/>
        </w:rPr>
      </w:pPr>
      <w:r>
        <w:rPr>
          <w:rFonts w:eastAsia="Calibri" w:cs="Arial" w:ascii="Arial" w:hAnsi="Arial"/>
          <w:color w:val="auto"/>
          <w:sz w:val="21"/>
          <w:szCs w:val="21"/>
        </w:rPr>
      </w:r>
    </w:p>
    <w:p>
      <w:pPr>
        <w:pStyle w:val="Normal"/>
        <w:jc w:val="both"/>
        <w:rPr/>
      </w:pPr>
      <w:r>
        <w:rPr/>
      </w:r>
    </w:p>
    <w:sectPr>
      <w:footerReference w:type="default" r:id="rId5"/>
      <w:type w:val="nextPage"/>
      <w:pgSz w:w="11906" w:h="16838"/>
      <w:pgMar w:left="1134" w:right="1134" w:header="0" w:top="1134" w:footer="1134" w:bottom="175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
      <w:jc w:val="center"/>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817"/>
    <w:pPr>
      <w:widowControl/>
      <w:bidi w:val="0"/>
      <w:spacing w:lineRule="auto" w:line="240"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qFormat/>
    <w:rsid w:val="001f4817"/>
    <w:rPr>
      <w:rFonts w:ascii="Times New Roman" w:hAnsi="Times New Roman" w:eastAsia="Times New Roman" w:cs="Times New Roman"/>
      <w:color w:val="000000"/>
      <w:kern w:val="2"/>
      <w:sz w:val="24"/>
      <w:szCs w:val="24"/>
      <w:u w:val="none" w:color="00000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link w:val="CorpsdetexteCar"/>
    <w:rsid w:val="001f4817"/>
    <w:pPr>
      <w:widowControl w:val="false"/>
      <w:suppressAutoHyphens w:val="true"/>
      <w:bidi w:val="0"/>
      <w:spacing w:lineRule="auto" w:line="240" w:before="0" w:after="120"/>
      <w:jc w:val="left"/>
    </w:pPr>
    <w:rPr>
      <w:rFonts w:ascii="Times New Roman" w:hAnsi="Times New Roman" w:eastAsia="Times New Roman" w:cs="Times New Roman"/>
      <w:color w:val="000000"/>
      <w:kern w:val="2"/>
      <w:sz w:val="24"/>
      <w:szCs w:val="24"/>
      <w:u w:val="none" w:color="000000"/>
      <w:lang w:val="fr-FR" w:eastAsia="fr-FR"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rps" w:customStyle="1">
    <w:name w:val="Corps"/>
    <w:qFormat/>
    <w:rsid w:val="001f4817"/>
    <w:pPr>
      <w:widowControl w:val="false"/>
      <w:suppressAutoHyphens w:val="true"/>
      <w:bidi w:val="0"/>
      <w:spacing w:lineRule="auto" w:line="240" w:before="0" w:after="0"/>
      <w:jc w:val="left"/>
    </w:pPr>
    <w:rPr>
      <w:rFonts w:ascii="Times New Roman" w:hAnsi="Times New Roman" w:eastAsia="Arial Unicode MS" w:cs="Arial Unicode MS"/>
      <w:color w:val="000000"/>
      <w:kern w:val="2"/>
      <w:sz w:val="24"/>
      <w:szCs w:val="24"/>
      <w:u w:val="none" w:color="000000"/>
      <w:lang w:val="fr-FR" w:eastAsia="fr-FR" w:bidi="ar-SA"/>
    </w:rPr>
  </w:style>
  <w:style w:type="paragraph" w:styleId="NormalWeb">
    <w:name w:val="Normal (Web)"/>
    <w:basedOn w:val="Normal"/>
    <w:uiPriority w:val="99"/>
    <w:unhideWhenUsed/>
    <w:qFormat/>
    <w:rsid w:val="001f4817"/>
    <w:pPr>
      <w:spacing w:beforeAutospacing="1" w:afterAutospacing="1"/>
    </w:pPr>
    <w:rPr>
      <w:rFonts w:eastAsia="Times New Roman"/>
      <w:lang w:val="fr-FR" w:eastAsia="fr-F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1f4817"/>
    <w:pPr>
      <w:spacing w:after="0" w:line="240" w:lineRule="auto"/>
    </w:pPr>
    <w:rPr>
      <w:lang w:eastAsia="fr-FR"/>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LibreOffice/6.2.4.2$Windows_X86_64 LibreOffice_project/2412653d852ce75f65fbfa83fb7e7b669a126d64</Application>
  <Pages>2</Pages>
  <Words>437</Words>
  <Characters>2522</Characters>
  <CharactersWithSpaces>2950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2020-04-03T09:37:00Z</dcterms:created>
  <dc:creator>Lucie</dc:creator>
  <dc:description/>
  <dc:language>fr-FR</dc:language>
  <cp:lastModifiedBy/>
  <dcterms:modified xsi:type="dcterms:W3CDTF">2020-04-03T16:38:30Z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